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Сведения о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научном консультанте</w:t>
      </w:r>
    </w:p>
    <w:p>
      <w:pPr>
        <w:jc w:val="center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Нестеренко Алексея Юрьевича </w:t>
      </w:r>
      <w:r>
        <w:rPr>
          <w:rFonts w:ascii="Times New Roman" w:hAnsi="Times New Roman"/>
          <w:b/>
          <w:sz w:val="26"/>
          <w:szCs w:val="26"/>
        </w:rPr>
        <w:t>по диссертации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</w:p>
    <w:p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>
        <w:rPr>
          <w:rFonts w:hint="default" w:ascii="Times New Roman" w:hAnsi="Times New Roman"/>
          <w:b/>
          <w:sz w:val="26"/>
          <w:szCs w:val="26"/>
        </w:rPr>
        <w:t>Математические методы обеспечения защищенного взаимодействия средств защиты информации</w:t>
      </w:r>
      <w:r>
        <w:rPr>
          <w:rFonts w:ascii="Times New Roman" w:hAnsi="Times New Roman"/>
          <w:b/>
          <w:sz w:val="26"/>
          <w:szCs w:val="26"/>
        </w:rPr>
        <w:t>»</w:t>
      </w:r>
    </w:p>
    <w:p>
      <w:pPr>
        <w:jc w:val="both"/>
        <w:rPr>
          <w:rFonts w:ascii="Times New Roman" w:hAnsi="Times New Roman"/>
          <w:sz w:val="26"/>
          <w:szCs w:val="26"/>
        </w:rPr>
      </w:pP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 xml:space="preserve">1. Ф.И.О.: </w:t>
      </w:r>
      <w:r>
        <w:rPr>
          <w:rFonts w:ascii="Times New Roman" w:hAnsi="Times New Roman"/>
          <w:b/>
          <w:sz w:val="26"/>
          <w:szCs w:val="26"/>
          <w:lang w:val="ru-RU"/>
        </w:rPr>
        <w:t>Чирский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Владимир Григорьевич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Ученая степень: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д.ф.-м.н.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Ученое звание: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профессор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Научная(ые) специальность(и):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 xml:space="preserve">01.01.6 </w:t>
      </w:r>
      <w:r>
        <w:rPr>
          <w:rFonts w:hint="default" w:ascii="Times New Roman" w:hAnsi="Times New Roman"/>
          <w:b w:val="0"/>
          <w:bCs/>
          <w:sz w:val="26"/>
          <w:szCs w:val="26"/>
        </w:rPr>
        <w:t>«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М</w:t>
      </w:r>
      <w:r>
        <w:rPr>
          <w:rFonts w:hint="default" w:ascii="Times New Roman" w:hAnsi="Times New Roman"/>
          <w:b w:val="0"/>
          <w:bCs/>
          <w:sz w:val="26"/>
          <w:szCs w:val="26"/>
        </w:rPr>
        <w:t>атематическая логика, алгебра и теория чисел»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Должность: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кафедра математического анализа механико-математического факультета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Место работы: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ГОУ ВО «Московский государственный университет имени М.В. Ломоносова»</w:t>
      </w:r>
    </w:p>
    <w:p>
      <w:pPr>
        <w:jc w:val="both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Адрес места работы: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г. Москва</w:t>
      </w:r>
    </w:p>
    <w:p>
      <w:pPr>
        <w:jc w:val="both"/>
        <w:rPr>
          <w:rFonts w:hint="default" w:ascii="Times New Roman" w:hAnsi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en-US"/>
        </w:rPr>
        <w:t>E</w:t>
      </w: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6"/>
          <w:szCs w:val="26"/>
          <w:lang w:val="ru-RU"/>
        </w:rPr>
        <w:t>vgchirskii@yandex.ru</w:t>
      </w:r>
    </w:p>
    <w:p>
      <w:pPr>
        <w:jc w:val="both"/>
        <w:rPr>
          <w:rFonts w:ascii="Times New Roman" w:hAnsi="Times New Roman"/>
          <w:sz w:val="20"/>
          <w:szCs w:val="20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1. В. Г. Чирский. Арифметические свойства значений обобщенных гипергеометрических рядов с полиадическими трансцендентными параметрами // Докл. РАН. Матем., информ., проц. упр., 506 (2022), 95–107.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2. В. Г. Чирский. Новые задачи теории трансцендентных полиадических чисел // Докл. РАН. Матем., информ., проц. упр., 505 (2022), 63–65.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3. В. Г. Чирский. О полиадических числах Лиувилля // Чебышевский сб., 22:5 (2021),  243–251.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4. В. Г. Чирский, “Арифметические свойства значений в полиадической лиувиллевой точке рядов эйлерова типа с полиадическим лиувиллевым параметром”, Чебышевский сб., 22:2 (2021),  304–312.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5. В. Г. Чирский. Арифметические свойства рядов эйлерова типа с параметром – лиувиллевым полиадическим числом // Докл. РАН. Матем., информ., проц. упр., 494 (2020),  68–70.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6"/>
          <w:szCs w:val="26"/>
          <w:lang w:val="ru-RU"/>
        </w:rPr>
      </w:pPr>
    </w:p>
    <w:p>
      <w:pPr>
        <w:jc w:val="both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 xml:space="preserve">Ученый секретарь </w:t>
      </w:r>
    </w:p>
    <w:p>
      <w:p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</w:rPr>
        <w:t>диссертационного совета МГУ.012.3</w:t>
      </w:r>
    </w:p>
    <w:p>
      <w:pPr>
        <w:spacing w:after="120"/>
        <w:jc w:val="both"/>
        <w:rPr>
          <w:rFonts w:hint="default" w:ascii="Times New Roman" w:hAnsi="Times New Roman"/>
          <w:i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к.ф.-м.н.                                                                                     Галатенко А.В.</w:t>
      </w:r>
      <w:bookmarkStart w:id="0" w:name="_GoBack"/>
      <w:bookmarkEnd w:id="0"/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GGaramondCy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GGaramondCyr"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C20F8"/>
    <w:rsid w:val="0A8E3F10"/>
    <w:rsid w:val="0FBC20F8"/>
    <w:rsid w:val="2F7EF489"/>
    <w:rsid w:val="5DFD9F20"/>
    <w:rsid w:val="EEFF2047"/>
    <w:rsid w:val="F4FF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2023-04-20T17:36:00Z</dcterms:created>
  <dc:creator>Алексей Нестеренко</dc:creator>
  <cp:lastModifiedBy>Алексей Нестеренко</cp:lastModifiedBy>
  <dcterms:modified xsi:type="dcterms:W3CDTF">2023-05-25T22:03:54Z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