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>Сведения о научном руководителе</w:t>
      </w:r>
    </w:p>
    <w:p>
      <w:pPr>
        <w:pStyle w:val="Normal"/>
        <w:jc w:val="center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по диссертации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6"/>
          <w:szCs w:val="26"/>
        </w:rPr>
        <w:t>Воронцова Михаила Олеговича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i w:val="false"/>
          <w:iCs w:val="false"/>
          <w:color w:val="auto"/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6"/>
          <w:szCs w:val="26"/>
        </w:rPr>
        <w:t>«Асимптотические свойства методов множественной проверки гипотез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i w:val="false"/>
          <w:iCs w:val="false"/>
          <w:color w:val="auto"/>
          <w:sz w:val="26"/>
          <w:szCs w:val="26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6"/>
          <w:szCs w:val="26"/>
        </w:rPr>
        <w:t>в условиях зависимости наблюдений»</w:t>
      </w:r>
    </w:p>
    <w:p>
      <w:pPr>
        <w:pStyle w:val="Normal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Научный руководитель: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Шестаков Олег Владимирович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Ученая степень: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доктор физико-математических наук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  <w:lang w:val="en-US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Ученое звание: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доцент</w:t>
      </w:r>
    </w:p>
    <w:p>
      <w:pPr>
        <w:pStyle w:val="Normal"/>
        <w:jc w:val="both"/>
        <w:rPr>
          <w:rFonts w:ascii="Times New Roman" w:hAnsi="Times New Roman"/>
          <w:i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Научная специальность: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1.1.4 Теория вероятностей и математическая статистика</w:t>
      </w:r>
      <w:r>
        <w:rPr>
          <w:rFonts w:ascii="Times New Roman" w:hAnsi="Times New Roman"/>
          <w:b w:val="false"/>
          <w:bCs w:val="false"/>
          <w:i/>
          <w:color w:val="auto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Место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Должность: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профессор кафедры математической статистики факультета вычислительной математики и кибернетики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Адрес места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119991, ГСП-1, Москва, Ленинские горы, д. 1, стр. 52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Тел.: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 xml:space="preserve">+7 (495) 9395394 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color w:val="auto"/>
          <w:sz w:val="26"/>
          <w:szCs w:val="26"/>
        </w:rPr>
        <w:t>-</w:t>
      </w: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oshestakov@cs.msu.ru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Второе место работы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(по совместительству)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Федеральный исследовательский центр «Информатика и управление» Российской Академии Наук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Должность: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старший научный сотрудник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Адрес места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119333, Москва, Вавилова, д.44, кор.2</w:t>
      </w:r>
    </w:p>
    <w:p>
      <w:pPr>
        <w:pStyle w:val="Normal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i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 1.1.4 – Теория вероятностей и математическая статистика за последние 5 лет: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0"/>
        <w:ind w:hanging="340" w:start="454" w:end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Кудрявцев А. А., </w:t>
      </w:r>
      <w:r>
        <w:rPr>
          <w:rFonts w:ascii="Times New Roman" w:hAnsi="Times New Roman"/>
          <w:b/>
          <w:bCs/>
          <w:color w:val="auto"/>
          <w:sz w:val="26"/>
          <w:szCs w:val="26"/>
        </w:rPr>
        <w:t>Шестаков О. В.</w:t>
      </w:r>
      <w:r>
        <w:rPr>
          <w:rFonts w:ascii="Times New Roman" w:hAnsi="Times New Roman"/>
          <w:color w:val="auto"/>
          <w:sz w:val="26"/>
          <w:szCs w:val="26"/>
        </w:rPr>
        <w:t> Дигамма-распределение как предельное для интегрального индекса баланса // Вестник Московского университета. Серия 15: Вычислительная математика и кибернетика. — 2022. — № 3. — С. 26–32.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0"/>
        <w:ind w:hanging="340" w:start="454" w:end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b/>
          <w:bCs/>
          <w:color w:val="auto"/>
          <w:sz w:val="26"/>
          <w:szCs w:val="26"/>
        </w:rPr>
        <w:t>Шестаков О. В.</w:t>
      </w:r>
      <w:r>
        <w:rPr>
          <w:rFonts w:ascii="Times New Roman" w:hAnsi="Times New Roman"/>
          <w:color w:val="auto"/>
          <w:sz w:val="26"/>
          <w:szCs w:val="26"/>
        </w:rPr>
        <w:t xml:space="preserve">, Степанов Е. П. Нелинейная регуляризация обращения линейных однородных операторов с помощью метода блочной пороговой обработки // Информатика и ее применения. — 2023. — Т. 17, № 4. — С. 2–8.  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0"/>
        <w:ind w:hanging="340" w:start="454" w:end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Kudryavtsev A. A., </w:t>
      </w:r>
      <w:r>
        <w:rPr>
          <w:rFonts w:ascii="Times New Roman" w:hAnsi="Times New Roman"/>
          <w:b/>
          <w:bCs/>
          <w:color w:val="auto"/>
          <w:sz w:val="26"/>
          <w:szCs w:val="26"/>
        </w:rPr>
        <w:t>Shestakov O. V.</w:t>
      </w:r>
      <w:r>
        <w:rPr>
          <w:rFonts w:ascii="Times New Roman" w:hAnsi="Times New Roman"/>
          <w:color w:val="auto"/>
          <w:sz w:val="26"/>
          <w:szCs w:val="26"/>
        </w:rPr>
        <w:t> Estimates of the convergence rate in the generalized rényi theorem with a structural digamma distribution using zeta metrics // Mathematics. — 2023. — Vol. 11, no. 21. — Art. 4477. 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0"/>
        <w:ind w:hanging="340" w:start="454" w:end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b/>
          <w:bCs/>
          <w:color w:val="auto"/>
          <w:sz w:val="26"/>
          <w:szCs w:val="26"/>
        </w:rPr>
        <w:t>Шестаков О. В.</w:t>
      </w:r>
      <w:r>
        <w:rPr>
          <w:rFonts w:ascii="Times New Roman" w:hAnsi="Times New Roman"/>
          <w:color w:val="auto"/>
          <w:sz w:val="26"/>
          <w:szCs w:val="26"/>
        </w:rPr>
        <w:t xml:space="preserve"> Статистические свойства оценки среднеквадратичного риска метода блочной пороговой обработки в задачах непараметрической регрессии со случайной сеткой // Информатика и ее применения. — 2024. — Т. 18, № 4. — С. 26–33.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0"/>
        <w:ind w:hanging="340" w:start="454" w:end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Kudryavtsev A. A., </w:t>
      </w:r>
      <w:r>
        <w:rPr>
          <w:rFonts w:ascii="Times New Roman" w:hAnsi="Times New Roman"/>
          <w:b/>
          <w:bCs/>
          <w:color w:val="auto"/>
          <w:sz w:val="26"/>
          <w:szCs w:val="26"/>
        </w:rPr>
        <w:t>Shestakov O. V.</w:t>
      </w:r>
      <w:r>
        <w:rPr>
          <w:rFonts w:ascii="Times New Roman" w:hAnsi="Times New Roman"/>
          <w:color w:val="auto"/>
          <w:sz w:val="26"/>
          <w:szCs w:val="26"/>
        </w:rPr>
        <w:t xml:space="preserve"> The generalized sure estimate for threshold processing when solving inverse statistical problems // Lobachevskii Journal of Mathematics. 2025. — Vol. 46, no. 9. — P. 4899–4908.</w:t>
      </w:r>
    </w:p>
    <w:p>
      <w:pPr>
        <w:pStyle w:val="Normal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>
      <w:pPr>
        <w:pStyle w:val="Normal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диссертационного совета МГУ.011.3,</w:t>
      </w:r>
    </w:p>
    <w:p>
      <w:pPr>
        <w:pStyle w:val="Normal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кандидат физико-математических наук, </w:t>
      </w:r>
    </w:p>
    <w:p>
      <w:pPr>
        <w:pStyle w:val="Normal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Е.Д. Алферова</w:t>
        <w:tab/>
        <w:tab/>
        <w:tab/>
        <w:tab/>
        <w:tab/>
        <w:t xml:space="preserve">                        ________________</w:t>
      </w:r>
    </w:p>
    <w:p>
      <w:pPr>
        <w:pStyle w:val="Normal"/>
        <w:jc w:val="both"/>
        <w:rPr>
          <w:rFonts w:ascii="Times New Roman" w:hAnsi="Times New Roman"/>
          <w:i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  <w:tab/>
        <w:tab/>
        <w:tab/>
        <w:tab/>
        <w:tab/>
        <w:tab/>
        <w:t xml:space="preserve">               </w:t>
        <w:tab/>
        <w:t xml:space="preserve">   </w:t>
      </w:r>
      <w:r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3d13e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13e4"/>
    <w:rPr>
      <w:color w:val="605E5C"/>
      <w:shd w:fill="E1DFDD" w:val="clear"/>
    </w:rPr>
  </w:style>
  <w:style w:type="character" w:styleId="Emphasis">
    <w:name w:val="Emphasis"/>
    <w:qFormat/>
    <w:rPr>
      <w:i/>
      <w:iCs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d13e4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7716d8"/>
    <w:pPr>
      <w:spacing w:before="0" w:after="0"/>
      <w:ind w:start="720"/>
      <w:contextualSpacing/>
    </w:pPr>
    <w:rPr>
      <w:rFonts w:ascii="Times New Roman" w:hAnsi="Times New Roman" w:eastAsia="Times New Roman" w:cs="Times New Roman"/>
      <w:lang w:eastAsia="ru-RU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LibreOffice/25.8.5.2$Windows_X86_64 LibreOffice_project/9c8b85f387cc00a89945a79c9e6239f32e450ac2</Application>
  <AppVersion>15.0000</AppVersion>
  <Pages>1</Pages>
  <Words>299</Words>
  <Characters>2039</Characters>
  <CharactersWithSpaces>2378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2023-05-15T11:28:00Z</dcterms:created>
  <dc:creator>Sofia Palionnaia</dc:creator>
  <dc:description/>
  <dc:language>ru-RU</dc:language>
  <cp:lastModifiedBy/>
  <dcterms:modified xsi:type="dcterms:W3CDTF">2026-04-09T09:24:44Z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