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Сведения об официальных оппонентах</w:t>
      </w:r>
    </w:p>
    <w:p>
      <w:pPr>
        <w:pStyle w:val="Normal"/>
        <w:jc w:val="center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по диссертации Высоцкого Алексея Олеговича</w:t>
      </w:r>
    </w:p>
    <w:p>
      <w:pPr>
        <w:pStyle w:val="Normal"/>
        <w:jc w:val="center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  <w:t>«Нелинейные методы наблюдения для динамических систем с неопределенностью»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1. Ф.И.О.: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Магарил-Ильяев Георгий Георгиевич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Ученая степень: </w:t>
      </w:r>
      <w:r>
        <w:rPr>
          <w:rFonts w:ascii="Times New Roman" w:hAnsi="Times New Roman"/>
          <w:bCs/>
          <w:color w:val="auto"/>
          <w:sz w:val="26"/>
          <w:szCs w:val="26"/>
        </w:rPr>
        <w:t>доктор физико-математических наук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Ученое звание: </w:t>
      </w:r>
      <w:r>
        <w:rPr>
          <w:rFonts w:ascii="Times New Roman" w:hAnsi="Times New Roman"/>
          <w:bCs/>
          <w:color w:val="auto"/>
          <w:sz w:val="26"/>
          <w:szCs w:val="26"/>
        </w:rPr>
        <w:t>профессор</w:t>
      </w:r>
    </w:p>
    <w:p>
      <w:pPr>
        <w:pStyle w:val="Normal"/>
        <w:jc w:val="both"/>
        <w:rPr>
          <w:rFonts w:ascii="Times New Roman" w:hAnsi="Times New Roman"/>
          <w:i/>
          <w:i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Научная специальность:</w:t>
      </w:r>
      <w:r>
        <w:rPr>
          <w:rFonts w:ascii="Times New Roman" w:hAnsi="Times New Roman"/>
          <w:b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auto"/>
          <w:sz w:val="26"/>
          <w:szCs w:val="26"/>
        </w:rPr>
        <w:t xml:space="preserve">01.01.01 – </w:t>
      </w:r>
      <w:r>
        <w:rPr>
          <w:rFonts w:cs="Calibri Light" w:ascii="Times New Roman" w:hAnsi="Times New Roman" w:cstheme="majorHAnsi"/>
          <w:iCs/>
          <w:color w:val="auto"/>
          <w:sz w:val="26"/>
          <w:szCs w:val="26"/>
        </w:rPr>
        <w:t>Вещественный, комплексный и функциональный анализ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Должность: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  <w:lang w:val="ru-RU"/>
        </w:rPr>
        <w:t>профессор кафедры общих проблем управления механико-математического факультета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 ФГБОУ ВО «МГУ имени М.В. Ломоносова»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  <w:lang w:val="en-US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Адрес места работы: </w:t>
      </w:r>
      <w:r>
        <w:rPr>
          <w:rFonts w:cs="Calibri Light" w:ascii="Times New Roman" w:hAnsi="Times New Roman" w:cstheme="majorHAnsi"/>
          <w:b w:val="false"/>
          <w:bCs w:val="false"/>
          <w:color w:val="auto"/>
          <w:sz w:val="26"/>
          <w:szCs w:val="26"/>
        </w:rPr>
        <w:t>119991</w:t>
      </w:r>
      <w:r>
        <w:rPr>
          <w:rFonts w:cs="Calibri Light" w:ascii="Times New Roman" w:hAnsi="Times New Roman" w:cstheme="majorHAnsi"/>
          <w:b w:val="false"/>
          <w:bCs w:val="false"/>
          <w:color w:val="auto"/>
          <w:sz w:val="26"/>
          <w:szCs w:val="26"/>
          <w:lang w:val="en-US"/>
        </w:rPr>
        <w:t>, ГСП-1, Москва, Ленинские горы, МГУ, д.1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  <w:lang w:val="en-US"/>
        </w:rPr>
      </w:pPr>
      <w:r>
        <w:rPr>
          <w:rFonts w:ascii="Times New Roman" w:hAnsi="Times New Roman"/>
          <w:b/>
          <w:color w:val="auto"/>
          <w:sz w:val="26"/>
          <w:szCs w:val="26"/>
        </w:rPr>
        <w:t>Тел.:</w:t>
      </w:r>
      <w:r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+7 (910) 223-86-54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  <w:lang w:val="en-US"/>
        </w:rPr>
      </w:pPr>
      <w:r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E-mail: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  <w:lang w:val="en-US"/>
        </w:rPr>
        <w:t>georgii.magaril@math.msu.ru</w:t>
      </w:r>
    </w:p>
    <w:p>
      <w:pPr>
        <w:pStyle w:val="Normal"/>
        <w:jc w:val="both"/>
        <w:rPr>
          <w:rFonts w:ascii="Times New Roman" w:hAnsi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/>
          <w:color w:val="auto"/>
          <w:sz w:val="20"/>
          <w:szCs w:val="20"/>
          <w:lang w:val="en-US"/>
        </w:rPr>
      </w:r>
    </w:p>
    <w:p>
      <w:pPr>
        <w:pStyle w:val="Normal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специальности и/или проблематике оппонируемой диссертации за последние 5 лет: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Style w:val="Emphasis"/>
          <w:rFonts w:ascii="Times New Roman" w:hAnsi="Times New Roman"/>
          <w:i w:val="false"/>
          <w:iCs w:val="false"/>
          <w:color w:val="000000"/>
          <w:sz w:val="26"/>
          <w:szCs w:val="26"/>
        </w:rPr>
        <w:t>Абрамова Е.В., Магарил-Ильяев Г.Г., Сивкова Е.О.</w:t>
      </w:r>
      <w:r>
        <w:rPr>
          <w:rFonts w:ascii="Times New Roman" w:hAnsi="Times New Roman"/>
          <w:color w:val="000000"/>
          <w:sz w:val="26"/>
          <w:szCs w:val="26"/>
        </w:rPr>
        <w:t xml:space="preserve"> Наилучшее восстановление решения задачи Дирихле для полупространства по неточным измерениям // 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26"/>
          <w:szCs w:val="26"/>
        </w:rPr>
        <w:t>Журнал вычислительной математики и математической физики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— 2020. — Т. 60, № 10. — С.1711–1720.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E. Avakov and G. Magaril-Il'yaev, 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 xml:space="preserve">Local controllability and a family of maximum principles for a free time optimal control problem // </w:t>
      </w:r>
      <w:r>
        <w:rPr>
          <w:rFonts w:ascii="Times New Roman" w:hAnsi="Times New Roman"/>
          <w:color w:val="000000"/>
          <w:sz w:val="26"/>
          <w:szCs w:val="26"/>
        </w:rPr>
        <w:t>SIAM J. Control Optim.,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2020,  </w:t>
      </w:r>
      <w:r>
        <w:rPr>
          <w:rFonts w:ascii="Times New Roman" w:hAnsi="Times New Roman"/>
          <w:color w:val="000000"/>
          <w:sz w:val="26"/>
          <w:szCs w:val="26"/>
        </w:rPr>
        <w:t xml:space="preserve">58, pp. 3212–3236.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Style w:val="Emphasis"/>
          <w:rFonts w:ascii="Times New Roman" w:hAnsi="Times New Roman"/>
          <w:i w:val="false"/>
          <w:iCs w:val="false"/>
          <w:color w:val="000000"/>
          <w:sz w:val="26"/>
          <w:szCs w:val="26"/>
        </w:rPr>
        <w:t>Магарил-Ильяев Г.Г., Осипенко К.Ю., Сивкова Е.О.</w:t>
      </w:r>
      <w:r>
        <w:rPr>
          <w:rFonts w:ascii="Times New Roman" w:hAnsi="Times New Roman"/>
          <w:color w:val="000000"/>
          <w:sz w:val="26"/>
          <w:szCs w:val="26"/>
        </w:rPr>
        <w:t xml:space="preserve"> Оптимальное восстановление температуры трубы по неточным измерениям // 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26"/>
          <w:szCs w:val="26"/>
        </w:rPr>
        <w:t>Труды Математического института им. В.А.Стеклова РАН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— 2021. — Т. 312. — С.216–223.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Style w:val="Emphasis"/>
          <w:rFonts w:ascii="Times New Roman" w:hAnsi="Times New Roman"/>
          <w:i w:val="false"/>
          <w:iCs w:val="false"/>
          <w:color w:val="000000"/>
          <w:sz w:val="26"/>
          <w:szCs w:val="26"/>
        </w:rPr>
        <w:t>Аваков Е.Р., Магарил-Ильяев Г.Г.</w:t>
      </w:r>
      <w:r>
        <w:rPr>
          <w:rFonts w:ascii="Times New Roman" w:hAnsi="Times New Roman"/>
          <w:color w:val="000000"/>
          <w:sz w:val="26"/>
          <w:szCs w:val="26"/>
        </w:rPr>
        <w:t xml:space="preserve"> О непрерывной зависимости решения дифференциального уравнения от правой части и краевых условий // 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26"/>
          <w:szCs w:val="26"/>
        </w:rPr>
        <w:t>Математические заметки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— 2023. — Т. 114, № 1. — С.3–17.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6"/>
          <w:szCs w:val="26"/>
        </w:rPr>
      </w:pPr>
      <w:r>
        <w:rPr>
          <w:rStyle w:val="Emphasis"/>
          <w:rFonts w:ascii="Times New Roman" w:hAnsi="Times New Roman"/>
          <w:i w:val="false"/>
          <w:iCs w:val="false"/>
          <w:color w:val="000000"/>
          <w:sz w:val="26"/>
          <w:szCs w:val="26"/>
        </w:rPr>
        <w:t>Магарил-Ильяев Г.Г., Сивкова Е.О.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О наилучшем восстановлении семейства операторов на многообразии rn x tm// </w:t>
      </w:r>
      <w:r>
        <w:rPr>
          <w:rStyle w:val="Emphasis"/>
          <w:rFonts w:ascii="Times New Roman" w:hAnsi="Times New Roman"/>
          <w:i w:val="false"/>
          <w:iCs w:val="false"/>
          <w:color w:val="000000"/>
          <w:sz w:val="26"/>
          <w:szCs w:val="26"/>
        </w:rPr>
        <w:t>Труды Математического института им. В.А.Стеклова РАН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</w:rPr>
        <w:t>.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— 2023. — Т. 323. — С.1–8.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2. Ф.И.О.: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Уткин Антон Викторович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Ученая степень: </w:t>
      </w:r>
      <w:r>
        <w:rPr>
          <w:rFonts w:ascii="Times New Roman" w:hAnsi="Times New Roman"/>
          <w:bCs/>
          <w:color w:val="auto"/>
          <w:sz w:val="26"/>
          <w:szCs w:val="26"/>
        </w:rPr>
        <w:t>доктор технических наук</w:t>
      </w:r>
    </w:p>
    <w:p>
      <w:pPr>
        <w:pStyle w:val="Normal"/>
        <w:jc w:val="both"/>
        <w:rPr>
          <w:rFonts w:ascii="Times New Roman" w:hAnsi="Times New Roman"/>
          <w:i/>
          <w:i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Научная специальность:</w:t>
      </w:r>
      <w:r>
        <w:rPr>
          <w:rFonts w:ascii="Times New Roman" w:hAnsi="Times New Roman"/>
          <w:iCs/>
          <w:color w:val="auto"/>
          <w:sz w:val="26"/>
          <w:szCs w:val="26"/>
        </w:rPr>
        <w:t xml:space="preserve"> </w:t>
      </w:r>
      <w:r>
        <w:rPr>
          <w:rFonts w:cs="Calibri Light" w:ascii="Times New Roman" w:hAnsi="Times New Roman" w:cstheme="majorHAnsi"/>
          <w:iCs/>
          <w:color w:val="auto"/>
          <w:sz w:val="26"/>
          <w:szCs w:val="26"/>
        </w:rPr>
        <w:t>05.13.01 – Системный анализ, управление и обработка информации.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Должность: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ведущий научный сотрудник лаборатории 37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Место работы: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Институт проблем управления РАН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Адрес места работы: </w:t>
      </w:r>
      <w:r>
        <w:rPr>
          <w:rStyle w:val="Strong"/>
          <w:rFonts w:cs="Calibri Light" w:ascii="Times New Roman" w:hAnsi="Times New Roman" w:cstheme="majorHAnsi"/>
          <w:b w:val="false"/>
          <w:bCs w:val="false"/>
          <w:color w:val="auto"/>
          <w:sz w:val="26"/>
          <w:szCs w:val="26"/>
        </w:rPr>
        <w:t>117997, Москва ул. Профсоюзная, д. 65</w:t>
      </w:r>
      <w:r>
        <w:rPr>
          <w:rFonts w:cs="Calibri Light" w:ascii="Times New Roman" w:hAnsi="Times New Roman" w:cstheme="majorHAnsi"/>
          <w:b w:val="false"/>
          <w:bCs w:val="false"/>
          <w:color w:val="auto"/>
          <w:sz w:val="26"/>
          <w:szCs w:val="26"/>
        </w:rPr>
        <w:t xml:space="preserve">. </w:t>
      </w:r>
    </w:p>
    <w:p>
      <w:pPr>
        <w:pStyle w:val="Normal"/>
        <w:jc w:val="both"/>
        <w:rPr>
          <w:rFonts w:ascii="Times New Roman" w:hAnsi="Times New Roman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/>
          <w:b/>
          <w:color w:val="auto"/>
          <w:sz w:val="26"/>
          <w:szCs w:val="26"/>
        </w:rPr>
        <w:t>Тел</w:t>
      </w:r>
      <w:r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.: 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+7 (</w:t>
      </w:r>
      <w:r>
        <w:rPr>
          <w:rFonts w:ascii="Times New Roman" w:hAnsi="Times New Roman"/>
          <w:bCs/>
          <w:color w:val="auto"/>
          <w:sz w:val="26"/>
          <w:szCs w:val="26"/>
          <w:lang w:val="ru-RU"/>
        </w:rPr>
        <w:t>926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 xml:space="preserve">) </w:t>
      </w:r>
      <w:r>
        <w:rPr>
          <w:rFonts w:ascii="Times New Roman" w:hAnsi="Times New Roman"/>
          <w:bCs/>
          <w:color w:val="auto"/>
          <w:sz w:val="26"/>
          <w:szCs w:val="26"/>
          <w:lang w:val="ru-RU"/>
        </w:rPr>
        <w:t>237</w:t>
      </w:r>
      <w:r>
        <w:rPr>
          <w:rFonts w:ascii="Times New Roman" w:hAnsi="Times New Roman"/>
          <w:bCs/>
          <w:color w:val="auto"/>
          <w:sz w:val="26"/>
          <w:szCs w:val="26"/>
        </w:rPr>
        <w:t>-</w:t>
      </w:r>
      <w:r>
        <w:rPr>
          <w:rFonts w:ascii="Times New Roman" w:hAnsi="Times New Roman"/>
          <w:bCs/>
          <w:color w:val="auto"/>
          <w:sz w:val="26"/>
          <w:szCs w:val="26"/>
          <w:lang w:val="ru-RU"/>
        </w:rPr>
        <w:t>07</w:t>
      </w:r>
      <w:r>
        <w:rPr>
          <w:rFonts w:ascii="Times New Roman" w:hAnsi="Times New Roman"/>
          <w:bCs/>
          <w:color w:val="auto"/>
          <w:sz w:val="26"/>
          <w:szCs w:val="26"/>
        </w:rPr>
        <w:t>-07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  <w:lang w:val="en-US"/>
        </w:rPr>
      </w:pPr>
      <w:r>
        <w:rPr>
          <w:rFonts w:ascii="Times New Roman" w:hAnsi="Times New Roman"/>
          <w:b/>
          <w:color w:val="auto"/>
          <w:sz w:val="26"/>
          <w:szCs w:val="26"/>
          <w:lang w:val="en-US"/>
        </w:rPr>
        <w:t>E-mail: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  <w:lang w:val="en-US"/>
        </w:rPr>
        <w:t xml:space="preserve"> utkin-av@rambler.ru</w:t>
      </w:r>
    </w:p>
    <w:p>
      <w:pPr>
        <w:pStyle w:val="Normal"/>
        <w:jc w:val="both"/>
        <w:rPr>
          <w:rFonts w:ascii="Times New Roman" w:hAnsi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/>
          <w:color w:val="auto"/>
          <w:sz w:val="20"/>
          <w:szCs w:val="20"/>
          <w:lang w:val="en-US"/>
        </w:rPr>
      </w:r>
    </w:p>
    <w:p>
      <w:pPr>
        <w:pStyle w:val="Normal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специальности и/или проблематике оппонируемой диссертации за последние 5 лет: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Utkin, A.V., Utkin, V.A. Synthesis of Stabilization Systems with Unilateral Control Constraints // </w:t>
      </w:r>
      <w:r>
        <w:rPr>
          <w:rFonts w:ascii="Times New Roman" w:hAnsi="Times New Roman"/>
          <w:i w:val="false"/>
          <w:iCs w:val="false"/>
          <w:sz w:val="26"/>
          <w:szCs w:val="26"/>
        </w:rPr>
        <w:t>Autom</w:t>
      </w:r>
      <w:r>
        <w:rPr>
          <w:rFonts w:ascii="Times New Roman" w:hAnsi="Times New Roman"/>
          <w:i w:val="false"/>
          <w:iCs w:val="false"/>
          <w:sz w:val="26"/>
          <w:szCs w:val="26"/>
          <w:lang w:val="en-US"/>
        </w:rPr>
        <w:t>ation and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 Remote Control </w:t>
      </w:r>
      <w:r>
        <w:rPr>
          <w:rFonts w:ascii="Times New Roman" w:hAnsi="Times New Roman"/>
          <w:i w:val="false"/>
          <w:iCs w:val="false"/>
          <w:sz w:val="26"/>
          <w:szCs w:val="26"/>
          <w:lang w:val="en-US"/>
        </w:rPr>
        <w:t>— 2021. Vol. 82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No. 8, P.</w:t>
      </w:r>
      <w:r>
        <w:rPr>
          <w:rFonts w:ascii="Times New Roman" w:hAnsi="Times New Roman"/>
          <w:sz w:val="26"/>
          <w:szCs w:val="26"/>
        </w:rPr>
        <w:t>1442–1455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K</w:t>
      </w:r>
      <w:r>
        <w:rPr>
          <w:rFonts w:ascii="Times New Roman" w:hAnsi="Times New Roman"/>
          <w:sz w:val="26"/>
          <w:szCs w:val="26"/>
        </w:rPr>
        <w:t xml:space="preserve">rasnova, S.A.; Kokunko, Y.G.; Utkin, V.A.; Utkin, A.V. Robust Stabilization via Super-Stable Systems Techniques // </w:t>
      </w: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Mathematics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 w:val="false"/>
          <w:iCs w:val="false"/>
          <w:sz w:val="26"/>
          <w:szCs w:val="26"/>
          <w:lang w:val="en-US"/>
        </w:rPr>
        <w:t xml:space="preserve">— </w:t>
      </w:r>
      <w:r>
        <w:rPr>
          <w:rFonts w:ascii="Times New Roman" w:hAnsi="Times New Roman"/>
          <w:b w:val="false"/>
          <w:bCs w:val="false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Vol.10, No. 1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 xml:space="preserve">P. </w:t>
      </w:r>
      <w:r>
        <w:rPr>
          <w:rFonts w:ascii="Times New Roman" w:hAnsi="Times New Roman"/>
          <w:sz w:val="26"/>
          <w:szCs w:val="26"/>
        </w:rPr>
        <w:t xml:space="preserve">98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Utkin, A.V.; Utkin, V.A.; Krasnova, S.A. Synthesis of a Control System for a Waste Heat Boiler with Forced Circulation under Restrictions on Control Actions // </w:t>
      </w:r>
      <w:r>
        <w:rPr>
          <w:rStyle w:val="Emphasis"/>
          <w:rFonts w:ascii="Times New Roman" w:hAnsi="Times New Roman"/>
          <w:i w:val="false"/>
          <w:iCs w:val="false"/>
          <w:sz w:val="26"/>
          <w:szCs w:val="26"/>
          <w:lang w:val="en-US"/>
        </w:rPr>
        <w:t>Mathematics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 w:val="false"/>
          <w:iCs w:val="false"/>
          <w:sz w:val="26"/>
          <w:szCs w:val="26"/>
          <w:lang w:val="en-US"/>
        </w:rPr>
        <w:t xml:space="preserve">— </w:t>
      </w:r>
      <w:r>
        <w:rPr>
          <w:rFonts w:ascii="Times New Roman" w:hAnsi="Times New Roman"/>
          <w:b w:val="false"/>
          <w:bCs w:val="false"/>
          <w:sz w:val="26"/>
          <w:szCs w:val="26"/>
          <w:lang w:val="en-US"/>
        </w:rPr>
        <w:t>2022</w:t>
      </w:r>
      <w:r>
        <w:rPr>
          <w:rFonts w:ascii="Times New Roman" w:hAnsi="Times New Roman"/>
          <w:sz w:val="26"/>
          <w:szCs w:val="26"/>
          <w:lang w:val="en-US"/>
        </w:rPr>
        <w:t>, Vol. 10, No. 14, P. 2397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Krasnova, S.A.; Antipov, A.S.; Krasnov, D.V.; Utkin, A.V. Cascade Synthesis of Observers of Mixed Variables for Flexible Joint Manipulators Tracking Systems under Parametric and External Disturbances // </w:t>
      </w:r>
      <w:r>
        <w:rPr>
          <w:rStyle w:val="Emphasis"/>
          <w:rFonts w:ascii="Times New Roman" w:hAnsi="Times New Roman"/>
          <w:i w:val="false"/>
          <w:iCs w:val="false"/>
          <w:sz w:val="26"/>
          <w:szCs w:val="26"/>
          <w:lang w:val="en-US"/>
        </w:rPr>
        <w:t>Electronics —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  <w:lang w:val="en-US"/>
        </w:rPr>
        <w:t>2023</w:t>
      </w:r>
      <w:r>
        <w:rPr>
          <w:rFonts w:ascii="Times New Roman" w:hAnsi="Times New Roman"/>
          <w:sz w:val="26"/>
          <w:szCs w:val="26"/>
          <w:lang w:val="en-US"/>
        </w:rPr>
        <w:t xml:space="preserve">, Vol. 12, Iss. 8, P.1930.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Aleksey S. Antipov, Julia G. Kokunko, Svetlana A. Krasnova, Victor A. Utkin, Anton V. Utkin Direct control of the endpoint of the manipulator under non-smooth uncertainty and reference trajectories // Journal of the Franklin Institute </w:t>
      </w:r>
      <w:r>
        <w:rPr>
          <w:rFonts w:ascii="Times New Roman" w:hAnsi="Times New Roman"/>
          <w:i w:val="false"/>
          <w:iCs w:val="false"/>
          <w:sz w:val="26"/>
          <w:szCs w:val="26"/>
          <w:lang w:val="en-US"/>
        </w:rPr>
        <w:t>— 2023,</w:t>
      </w:r>
      <w:r>
        <w:rPr>
          <w:rFonts w:ascii="Times New Roman" w:hAnsi="Times New Roman"/>
          <w:sz w:val="26"/>
          <w:szCs w:val="26"/>
          <w:lang w:val="en-US"/>
        </w:rPr>
        <w:t xml:space="preserve"> Vol. 360, Iss.  17, P. 13430-13458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3. Ф.И.О.: </w:t>
      </w:r>
      <w:r>
        <w:rPr>
          <w:rFonts w:ascii="Times New Roman" w:hAnsi="Times New Roman"/>
          <w:b/>
          <w:bCs/>
          <w:color w:val="auto"/>
          <w:sz w:val="26"/>
          <w:szCs w:val="26"/>
          <w:lang w:val="ru-RU"/>
        </w:rPr>
        <w:t>Канатников Анатолий Николаевич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Ученая степень: </w:t>
      </w:r>
      <w:r>
        <w:rPr>
          <w:rFonts w:ascii="Times New Roman" w:hAnsi="Times New Roman"/>
          <w:bCs/>
          <w:color w:val="auto"/>
          <w:sz w:val="26"/>
          <w:szCs w:val="26"/>
        </w:rPr>
        <w:t>доктор физико-математических наук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доцент</w:t>
      </w:r>
    </w:p>
    <w:p>
      <w:pPr>
        <w:pStyle w:val="Normal"/>
        <w:jc w:val="both"/>
        <w:rPr>
          <w:rFonts w:ascii="Times New Roman" w:hAnsi="Times New Roman"/>
          <w:i/>
          <w:i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Научная специальность:</w:t>
      </w:r>
      <w:r>
        <w:rPr>
          <w:rFonts w:ascii="Times New Roman" w:hAnsi="Times New Roman"/>
          <w:b/>
          <w:iCs/>
          <w:color w:val="auto"/>
          <w:sz w:val="26"/>
          <w:szCs w:val="26"/>
        </w:rPr>
        <w:t xml:space="preserve"> </w:t>
      </w:r>
      <w:r>
        <w:rPr>
          <w:rFonts w:cs="Calibri Light" w:ascii="Times New Roman" w:hAnsi="Times New Roman" w:cstheme="majorHAnsi"/>
          <w:b w:val="false"/>
          <w:bCs w:val="false"/>
          <w:i w:val="false"/>
          <w:iCs w:val="false"/>
          <w:color w:val="auto"/>
          <w:sz w:val="26"/>
          <w:szCs w:val="26"/>
        </w:rPr>
        <w:t>05.13.01 – Системный анализ, управление и обработка информации.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Должность: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профессор кафедры </w:t>
      </w:r>
      <w:r>
        <w:rPr>
          <w:rFonts w:ascii="Times New Roman" w:hAnsi="Times New Roman"/>
          <w:bCs/>
          <w:color w:val="auto"/>
          <w:sz w:val="26"/>
          <w:szCs w:val="26"/>
          <w:lang w:val="ru-RU"/>
        </w:rPr>
        <w:t>математического моделирования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Место работы: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МГТУ им. Н.Э. Баумана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Адрес места работы: 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>
        <w:rPr>
          <w:rFonts w:cs="Calibri Light" w:ascii="Times New Roman" w:hAnsi="Times New Roman" w:cstheme="majorHAnsi"/>
          <w:b w:val="false"/>
          <w:bCs w:val="false"/>
          <w:color w:val="auto"/>
          <w:sz w:val="26"/>
          <w:szCs w:val="26"/>
        </w:rPr>
        <w:t>105005, г. Москва, ул. Бауманская 2-я, д. 5, стр. 1</w:t>
      </w:r>
    </w:p>
    <w:p>
      <w:pPr>
        <w:pStyle w:val="Normal"/>
        <w:jc w:val="both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Тел.: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+7 (49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9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 xml:space="preserve">) 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263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-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67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-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50</w:t>
      </w:r>
    </w:p>
    <w:p>
      <w:pPr>
        <w:pStyle w:val="Normal"/>
        <w:jc w:val="both"/>
        <w:rPr>
          <w:rFonts w:ascii="Times New Roman" w:hAnsi="Times New Roman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E-mail: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  <w:lang w:val="en-US"/>
        </w:rPr>
        <w:t>skipper</w:t>
      </w:r>
      <w:r>
        <w:rPr>
          <w:rFonts w:ascii="Times New Roman" w:hAnsi="Times New Roman"/>
          <w:bCs/>
          <w:color w:val="auto"/>
          <w:sz w:val="26"/>
          <w:szCs w:val="26"/>
          <w:lang w:val="en-US"/>
        </w:rPr>
        <w:t>@bmstu.ru</w:t>
      </w:r>
    </w:p>
    <w:p>
      <w:pPr>
        <w:pStyle w:val="Normal"/>
        <w:jc w:val="both"/>
        <w:rPr>
          <w:rFonts w:ascii="Times New Roman" w:hAnsi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/>
          <w:color w:val="auto"/>
          <w:sz w:val="20"/>
          <w:szCs w:val="20"/>
          <w:lang w:val="en-US"/>
        </w:rPr>
      </w:r>
    </w:p>
    <w:p>
      <w:pPr>
        <w:pStyle w:val="Normal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специальности и/или проблематике оппонируемой диссертации за последние 5 лет:</w:t>
      </w:r>
    </w:p>
    <w:p>
      <w:pPr>
        <w:pStyle w:val="ListParagraph"/>
        <w:numPr>
          <w:ilvl w:val="0"/>
          <w:numId w:val="3"/>
        </w:numPr>
        <w:spacing w:lineRule="auto" w:line="252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>анатников А.Н. Локализирующие множества и поведение траекторий неавтономных систем // Дифференциальные уравнения. – 2019. – Т. 55, № 11. – С. 1465-1475.</w:t>
      </w:r>
    </w:p>
    <w:p>
      <w:pPr>
        <w:pStyle w:val="ListParagraph"/>
        <w:numPr>
          <w:ilvl w:val="0"/>
          <w:numId w:val="3"/>
        </w:numPr>
        <w:spacing w:lineRule="auto" w:line="252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Виноградова, М.С., Канатников А.Н., Ткачева О.С. Наблюдатель состояния для модели кардиостимулятора на основе уравнения Ван дер Поля // Математика и математическое моделирование. – 2020. – № 1. – С. 16-32. </w:t>
      </w:r>
    </w:p>
    <w:p>
      <w:pPr>
        <w:pStyle w:val="ListParagraph"/>
        <w:numPr>
          <w:ilvl w:val="0"/>
          <w:numId w:val="3"/>
        </w:numPr>
        <w:spacing w:lineRule="auto" w:line="252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Канатников, А.Н., Ткачева О.С. Об эффективности функционального метода локализации // Дифференциальные уравнения. – 2020. – Т. 56, № 11. – С. 1433-1438. </w:t>
      </w:r>
    </w:p>
    <w:p>
      <w:pPr>
        <w:pStyle w:val="ListParagraph"/>
        <w:numPr>
          <w:ilvl w:val="0"/>
          <w:numId w:val="3"/>
        </w:numPr>
        <w:spacing w:lineRule="auto" w:line="252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Канатников, А.Н. Наблюдатель состояния для четырёхмерной системы с векторным выходом // Дифференциальные уравнения. – 2021. – Т. 57, № 11. – С. 1483-1490. </w:t>
      </w:r>
    </w:p>
    <w:p>
      <w:pPr>
        <w:pStyle w:val="ListParagraph"/>
        <w:numPr>
          <w:ilvl w:val="0"/>
          <w:numId w:val="3"/>
        </w:numPr>
        <w:spacing w:lineRule="auto" w:line="252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Канатников, А.Н., Ткачева О.С. Поведение траекторий четырёхмерной модели ВИЧ-инфекции / А. Н. Канатников, О. С. Ткачева // Дифференциальные уравнения. – 2023. – Т. 59, № 11. – С. 1451-1461. </w:t>
      </w:r>
    </w:p>
    <w:p>
      <w:pPr>
        <w:pStyle w:val="ListParagraph"/>
        <w:numPr>
          <w:ilvl w:val="0"/>
          <w:numId w:val="3"/>
        </w:numPr>
        <w:spacing w:lineRule="auto" w:line="252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Kanatnikov A.N., Starkov K.E. Ultimate Dynamics of the two-phenotype cancer model: attracting sets and global cancer eradication conditions // Mathematics. – 2023. – Vol. 11, no. 20. – Art. no. 4275.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Ученый секретарь 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диссертационного совета МГУ.011.8,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Г.А. Чечкин</w:t>
      </w:r>
      <w:r>
        <w:rPr>
          <w:rFonts w:ascii="Times New Roman" w:hAnsi="Times New Roman"/>
          <w:color w:val="auto"/>
          <w:sz w:val="26"/>
          <w:szCs w:val="26"/>
        </w:rPr>
        <w:tab/>
        <w:tab/>
        <w:tab/>
        <w:tab/>
        <w:tab/>
        <w:tab/>
        <w:t xml:space="preserve">       ________________</w:t>
      </w:r>
    </w:p>
    <w:p>
      <w:pPr>
        <w:pStyle w:val="Normal"/>
        <w:jc w:val="both"/>
        <w:rPr>
          <w:rFonts w:ascii="Times New Roman" w:hAnsi="Times New Roman"/>
          <w:i/>
          <w:i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  <w:tab/>
        <w:tab/>
        <w:tab/>
        <w:tab/>
        <w:tab/>
        <w:t xml:space="preserve">     </w:t>
        <w:tab/>
        <w:tab/>
      </w:r>
      <w:r>
        <w:rPr>
          <w:rFonts w:ascii="Times New Roman" w:hAnsi="Times New Roman"/>
          <w:i/>
          <w:color w:val="auto"/>
          <w:sz w:val="22"/>
          <w:szCs w:val="22"/>
        </w:rPr>
        <w:t>Подпись, печать</w:t>
      </w:r>
    </w:p>
    <w:p>
      <w:pPr>
        <w:pStyle w:val="Normal"/>
        <w:jc w:val="center"/>
        <w:rPr>
          <w:rFonts w:ascii="Times New Roman" w:hAnsi="Times New Roman"/>
          <w:b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06c1"/>
    <w:pPr>
      <w:widowControl/>
      <w:suppressAutoHyphens w:val="tru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b06c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66af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066af2"/>
    <w:rPr/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66af2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LibreOffice/7.4.3.2$Windows_X86_64 LibreOffice_project/1048a8393ae2eeec98dff31b5c133c5f1d08b890</Application>
  <AppVersion>15.0000</AppVersion>
  <Pages>3</Pages>
  <Words>666</Words>
  <Characters>4324</Characters>
  <CharactersWithSpaces>4993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Манвэ Сулимо</dc:creator>
  <dc:description/>
  <dc:language>ru-RU</dc:language>
  <cp:lastModifiedBy/>
  <dcterms:modified xsi:type="dcterms:W3CDTF">2024-09-24T13:24:50Z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